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1B911">
      <w:pPr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关于202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-US"/>
        </w:rPr>
        <w:t>3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年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  <w:lang w:val="en-US" w:eastAsia="zh-CN"/>
        </w:rPr>
        <w:t>度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鄂尔多斯高新技术产业开发区一般公共预算收入情况的说明</w:t>
      </w:r>
    </w:p>
    <w:p w14:paraId="50080C58">
      <w:pPr>
        <w:rPr>
          <w:rFonts w:hint="eastAsia" w:ascii="Arial" w:hAnsi="Arial" w:cs="Arial"/>
          <w:b/>
          <w:bCs/>
          <w:color w:val="185895"/>
          <w:kern w:val="0"/>
          <w:sz w:val="36"/>
          <w:szCs w:val="36"/>
        </w:rPr>
      </w:pPr>
    </w:p>
    <w:p w14:paraId="54355429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bookmarkStart w:id="0" w:name="非税收入完成情况及结构简析"/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开发区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一般公共预算收入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50372万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元，比上年增加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11109万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较上年同期增长28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%，</w:t>
      </w:r>
      <w:r>
        <w:rPr>
          <w:rFonts w:hint="eastAsia" w:ascii="仿宋" w:hAnsi="仿宋" w:eastAsia="仿宋" w:cs="仿宋"/>
          <w:sz w:val="32"/>
          <w:szCs w:val="32"/>
        </w:rPr>
        <w:t>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124</w:t>
      </w:r>
      <w:r>
        <w:rPr>
          <w:rFonts w:hint="eastAsia" w:ascii="仿宋" w:hAnsi="仿宋" w:eastAsia="仿宋" w:cs="仿宋"/>
          <w:sz w:val="32"/>
          <w:szCs w:val="32"/>
        </w:rPr>
        <w:t>%，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主要是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疫情后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开发区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经济恢复性增长带动税收增长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6AF1BE75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1、增值税完成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15120万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4665万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%。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</w:rPr>
        <w:t>主要是2022年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eastAsia="zh-CN"/>
        </w:rPr>
        <w:t>实施大规模增值税留抵退税政策导致基数较低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。</w:t>
      </w:r>
    </w:p>
    <w:p w14:paraId="5CEDC830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2、企业所得税完成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5651万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增加74万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增长1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%。</w:t>
      </w:r>
    </w:p>
    <w:p w14:paraId="05F58655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yellow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3、个人所得税完成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1352万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减少722万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下降35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%，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主要是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专项附加扣除的调整影响了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个税的收入。</w:t>
      </w:r>
    </w:p>
    <w:p w14:paraId="417E7D3C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4、城市维护建设税</w:t>
      </w:r>
      <w:r>
        <w:rPr>
          <w:rFonts w:hint="eastAsia" w:ascii="仿宋" w:hAnsi="仿宋" w:eastAsia="仿宋" w:cs="仿宋"/>
          <w:kern w:val="2"/>
          <w:sz w:val="32"/>
          <w:szCs w:val="32"/>
        </w:rPr>
        <w:t>完成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3692万元，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比上年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增加700万元，增长23%，主要是开发区城市基础设施建设持续完善。</w:t>
      </w:r>
    </w:p>
    <w:p w14:paraId="3552791D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5、房产税完成6639万元，比上年增加291万元，增长5%，主要是房地产市场持续发展，推动经济增长。</w:t>
      </w:r>
    </w:p>
    <w:p w14:paraId="282BA48D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6、印花税完成2350万元，比上年增加532万元，增长29%，主要是开发区招商引资力度加大，入园企业增多，标准化厂房需求量增加，承建厂房企业融资借款合同金额较大，产生大量印花税。</w:t>
      </w:r>
    </w:p>
    <w:p w14:paraId="362453BF">
      <w:pPr>
        <w:pStyle w:val="3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7、城镇土地使用税完成9466万元，比上年增加3779万元，增长66%，主要是入园企业项目规模性、批量性增加，大量使用园区土地，导致城镇土地使用税增加。</w:t>
      </w:r>
    </w:p>
    <w:p w14:paraId="3BFBDDA0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8、土地增值税完成797万元，比上年减少738万元，下降48%，主要是为了充分利用土地价值，发挥经济效益，开发区收回部分闲置土地，该部分土地价值较低。</w:t>
      </w:r>
    </w:p>
    <w:p w14:paraId="0E15A1BB">
      <w:pPr>
        <w:pStyle w:val="3"/>
        <w:spacing w:line="560" w:lineRule="exact"/>
        <w:ind w:left="638" w:leftChars="304" w:firstLine="0" w:firstLineChars="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9、车船税完成14万元，比上年减少7万元，下降33%。</w:t>
      </w:r>
    </w:p>
    <w:p w14:paraId="280CDEA2">
      <w:pPr>
        <w:pStyle w:val="3"/>
        <w:spacing w:line="560" w:lineRule="exact"/>
        <w:ind w:left="638" w:leftChars="304" w:firstLine="0" w:firstLineChars="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 w:cs="仿宋"/>
          <w:kern w:val="2"/>
          <w:sz w:val="32"/>
          <w:szCs w:val="32"/>
        </w:rPr>
        <w:t>环境保护税完成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67万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减少2万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下降3</w:t>
      </w:r>
      <w:r>
        <w:rPr>
          <w:rFonts w:hint="eastAsia" w:ascii="仿宋" w:hAnsi="仿宋" w:eastAsia="仿宋" w:cs="仿宋"/>
          <w:kern w:val="2"/>
          <w:sz w:val="32"/>
          <w:szCs w:val="32"/>
        </w:rPr>
        <w:t>%。</w:t>
      </w:r>
    </w:p>
    <w:p w14:paraId="459E0899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11、契税完成2206万元，比上年增加1954万元，增长775%，主要是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val="en" w:eastAsia="en"/>
        </w:rPr>
        <w:t>招商引资项目买地建厂企业较多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。</w:t>
      </w:r>
    </w:p>
    <w:p w14:paraId="289BFB39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12、其他税收</w:t>
      </w:r>
      <w:bookmarkStart w:id="1" w:name="_GoBack"/>
      <w:bookmarkEnd w:id="1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收入214万元，无上年同期数。</w:t>
      </w:r>
    </w:p>
    <w:bookmarkEnd w:id="0"/>
    <w:p w14:paraId="24216F76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kern w:val="2"/>
          <w:sz w:val="32"/>
          <w:szCs w:val="32"/>
        </w:rPr>
        <w:t>、专项收入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2014万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增加220万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增长12</w:t>
      </w:r>
      <w:r>
        <w:rPr>
          <w:rFonts w:hint="eastAsia" w:ascii="仿宋" w:hAnsi="仿宋" w:eastAsia="仿宋" w:cs="仿宋"/>
          <w:kern w:val="2"/>
          <w:sz w:val="32"/>
          <w:szCs w:val="32"/>
        </w:rPr>
        <w:t>%。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主要是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教育费附加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收入较上年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增加429万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元。</w:t>
      </w:r>
    </w:p>
    <w:p w14:paraId="0ED49085">
      <w:pPr>
        <w:pStyle w:val="3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kern w:val="2"/>
          <w:sz w:val="32"/>
          <w:szCs w:val="32"/>
        </w:rPr>
        <w:t>、行政事业性收费收入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293万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元，比上年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273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136.5</w:t>
      </w:r>
      <w:r>
        <w:rPr>
          <w:rFonts w:hint="eastAsia" w:ascii="仿宋" w:hAnsi="仿宋" w:eastAsia="仿宋" w:cs="仿宋"/>
          <w:kern w:val="2"/>
          <w:sz w:val="32"/>
          <w:szCs w:val="32"/>
        </w:rPr>
        <w:t>%。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主要是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林业草原行政事业性收费收入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较上年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270万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。</w:t>
      </w:r>
    </w:p>
    <w:p w14:paraId="0843D426">
      <w:pPr>
        <w:pStyle w:val="3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</w:rPr>
        <w:t>、国有资源（资产）有偿使用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485万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元，比上年增加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421万</w:t>
      </w:r>
      <w:r>
        <w:rPr>
          <w:rFonts w:hint="eastAsia" w:ascii="仿宋" w:hAnsi="仿宋" w:eastAsia="仿宋" w:cs="仿宋"/>
          <w:kern w:val="2"/>
          <w:sz w:val="32"/>
          <w:szCs w:val="32"/>
        </w:rPr>
        <w:t>元，增长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658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%，主要是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行政单位国有资产出租、出借收入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较上年增加270万元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/>
        </w:rPr>
        <w:t>利息收入较上年增加151万元。</w:t>
      </w:r>
    </w:p>
    <w:p w14:paraId="2C520112">
      <w:pPr>
        <w:rPr>
          <w:rFonts w:hint="eastAsia" w:ascii="仿宋_GB2312" w:hAnsi="Verdana" w:eastAsia="仿宋_GB2312"/>
          <w:sz w:val="32"/>
          <w:szCs w:val="18"/>
          <w:highlight w:val="yellow"/>
        </w:rPr>
      </w:pPr>
      <w:r>
        <w:rPr>
          <w:rFonts w:hint="eastAsia"/>
        </w:rPr>
        <w:t xml:space="preserve">    </w:t>
      </w:r>
    </w:p>
    <w:p w14:paraId="411B272B">
      <w:pPr>
        <w:rPr>
          <w:rFonts w:hint="eastAsia" w:ascii="仿宋_GB2312" w:hAnsi="Verdana" w:eastAsia="仿宋_GB2312"/>
          <w:sz w:val="32"/>
          <w:szCs w:val="18"/>
        </w:rPr>
      </w:pPr>
    </w:p>
    <w:p w14:paraId="04607BF4">
      <w:pPr>
        <w:rPr>
          <w:rFonts w:hint="eastAsia" w:ascii="仿宋_GB2312" w:hAnsi="Verdana" w:eastAsia="仿宋_GB2312"/>
          <w:sz w:val="32"/>
          <w:szCs w:val="18"/>
        </w:rPr>
      </w:pPr>
    </w:p>
    <w:p w14:paraId="3FDF85E7">
      <w:pPr>
        <w:rPr>
          <w:rFonts w:hint="eastAsia"/>
          <w:color w:val="FF0000"/>
        </w:rPr>
      </w:pPr>
    </w:p>
    <w:p w14:paraId="6D9B6343">
      <w:pPr>
        <w:rPr>
          <w:rFonts w:hint="eastAsia"/>
          <w:color w:val="FF0000"/>
        </w:rPr>
      </w:pPr>
    </w:p>
    <w:p w14:paraId="620807A4">
      <w:pPr>
        <w:rPr>
          <w:rFonts w:hint="eastAsia"/>
          <w:color w:val="FF0000"/>
        </w:rPr>
      </w:pPr>
    </w:p>
    <w:p w14:paraId="260983FD">
      <w:pPr>
        <w:rPr>
          <w:rFonts w:hint="eastAsia"/>
          <w:color w:val="FF0000"/>
        </w:rPr>
      </w:pPr>
    </w:p>
    <w:p w14:paraId="7A30E402">
      <w:pPr>
        <w:rPr>
          <w:rFonts w:hint="eastAsia"/>
          <w:color w:val="FF0000"/>
        </w:rPr>
      </w:pPr>
    </w:p>
    <w:p w14:paraId="7859C637">
      <w:pPr>
        <w:rPr>
          <w:rFonts w:hint="eastAsia"/>
          <w:color w:val="FF0000"/>
        </w:rPr>
      </w:pPr>
    </w:p>
    <w:p w14:paraId="0425834A">
      <w:pPr>
        <w:rPr>
          <w:rFonts w:hint="eastAsia"/>
          <w:color w:val="FF0000"/>
        </w:rPr>
      </w:pPr>
    </w:p>
    <w:p w14:paraId="1D7C0534">
      <w:pPr>
        <w:rPr>
          <w:rFonts w:hint="eastAsia"/>
          <w:color w:val="FF0000"/>
        </w:rPr>
      </w:pPr>
    </w:p>
    <w:p w14:paraId="7EB3A9B0"/>
    <w:sectPr>
      <w:footerReference r:id="rId3" w:type="default"/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96C2D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6D4283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wNDZiYTU4NjMzMGExMzU0MGY4ODFmYzZmZjlhNjMifQ=="/>
  </w:docVars>
  <w:rsids>
    <w:rsidRoot w:val="153A2759"/>
    <w:rsid w:val="0665251E"/>
    <w:rsid w:val="153A2759"/>
    <w:rsid w:val="1F7857EB"/>
    <w:rsid w:val="21312F57"/>
    <w:rsid w:val="2B491A5F"/>
    <w:rsid w:val="66B3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910</Characters>
  <Lines>0</Lines>
  <Paragraphs>0</Paragraphs>
  <TotalTime>60</TotalTime>
  <ScaleCrop>false</ScaleCrop>
  <LinksUpToDate>false</LinksUpToDate>
  <CharactersWithSpaces>914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2024-09-13T06:19:00Z</dcterms:created>
  <dc:creator>CC</dc:creator>
  <cp:lastModifiedBy>CC</cp:lastModifiedBy>
  <dcterms:modified xsi:type="dcterms:W3CDTF">2024-09-19T03:17:50Z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C1B142045BE04919B0ECFC908724D3E4_11</vt:lpwstr>
  </property>
</Properties>
</file>